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EC" w:rsidRDefault="006377CF" w:rsidP="00EE26EC">
      <w:pPr>
        <w:jc w:val="center"/>
        <w:rPr>
          <w:rFonts w:ascii="Arial" w:hAnsi="Arial" w:cs="Arial" w:hint="cs"/>
          <w:b w:val="0"/>
          <w:bCs/>
          <w:sz w:val="24"/>
          <w:szCs w:val="24"/>
          <w:u w:val="single"/>
          <w:rtl/>
        </w:rPr>
      </w:pPr>
      <w:r>
        <w:rPr>
          <w:rFonts w:ascii="Arial" w:hAnsi="Arial" w:cs="Arial" w:hint="cs"/>
          <w:b w:val="0"/>
          <w:bCs/>
          <w:sz w:val="24"/>
          <w:szCs w:val="24"/>
          <w:u w:val="single"/>
          <w:rtl/>
        </w:rPr>
        <w:t>החברה לניהול קופות גמל (2003) של העובדים באוניברסיטה העברית בירושלים בע"מ</w:t>
      </w:r>
    </w:p>
    <w:p w:rsidR="006377CF" w:rsidRPr="006377CF" w:rsidRDefault="006377CF" w:rsidP="00EE26EC">
      <w:pPr>
        <w:jc w:val="center"/>
        <w:rPr>
          <w:rFonts w:ascii="Arial" w:hAnsi="Arial" w:cs="Arial"/>
          <w:sz w:val="24"/>
          <w:szCs w:val="24"/>
          <w:u w:val="single"/>
          <w:rtl/>
        </w:rPr>
      </w:pPr>
      <w:r w:rsidRPr="006377CF">
        <w:rPr>
          <w:rFonts w:ascii="Arial" w:hAnsi="Arial" w:cs="Arial" w:hint="cs"/>
          <w:sz w:val="24"/>
          <w:szCs w:val="24"/>
          <w:u w:val="single"/>
          <w:rtl/>
        </w:rPr>
        <w:t>(להלן:  'הקופה')</w:t>
      </w:r>
    </w:p>
    <w:p w:rsidR="006377CF" w:rsidRDefault="006377CF" w:rsidP="00EE26EC">
      <w:pPr>
        <w:jc w:val="center"/>
        <w:rPr>
          <w:rFonts w:ascii="Arial" w:hAnsi="Arial" w:cs="Arial" w:hint="cs"/>
          <w:b w:val="0"/>
          <w:bCs/>
          <w:sz w:val="24"/>
          <w:szCs w:val="24"/>
          <w:u w:val="single"/>
          <w:rtl/>
        </w:rPr>
      </w:pPr>
    </w:p>
    <w:p w:rsidR="00EE26EC" w:rsidRPr="00D26B89" w:rsidRDefault="00EE26EC" w:rsidP="00EE26EC">
      <w:pPr>
        <w:jc w:val="center"/>
        <w:rPr>
          <w:rFonts w:ascii="Arial" w:hAnsi="Arial" w:cs="Arial"/>
          <w:b w:val="0"/>
          <w:bCs/>
          <w:sz w:val="24"/>
          <w:szCs w:val="24"/>
          <w:u w:val="single"/>
          <w:rtl/>
        </w:rPr>
      </w:pPr>
      <w:r w:rsidRPr="00D26B89">
        <w:rPr>
          <w:rFonts w:ascii="Arial" w:hAnsi="Arial" w:cs="Arial"/>
          <w:b w:val="0"/>
          <w:bCs/>
          <w:sz w:val="24"/>
          <w:szCs w:val="24"/>
          <w:u w:val="single"/>
          <w:rtl/>
        </w:rPr>
        <w:t>קוד אתי</w:t>
      </w:r>
    </w:p>
    <w:p w:rsidR="00EE26EC" w:rsidRPr="00D26B89" w:rsidRDefault="00EE26EC" w:rsidP="00EE26EC">
      <w:pPr>
        <w:rPr>
          <w:rFonts w:ascii="Arial" w:hAnsi="Arial" w:cs="Arial"/>
          <w:sz w:val="24"/>
          <w:szCs w:val="24"/>
          <w:rtl/>
        </w:rPr>
      </w:pPr>
    </w:p>
    <w:p w:rsidR="00EE26EC" w:rsidRPr="00D26B89" w:rsidRDefault="00EE26EC" w:rsidP="00EE26EC">
      <w:pPr>
        <w:spacing w:line="360" w:lineRule="auto"/>
        <w:ind w:left="567" w:hanging="567"/>
        <w:jc w:val="both"/>
        <w:rPr>
          <w:rFonts w:ascii="Arial" w:hAnsi="Arial" w:cs="Arial"/>
          <w:sz w:val="24"/>
          <w:szCs w:val="24"/>
          <w:u w:val="single"/>
          <w:rtl/>
        </w:rPr>
      </w:pPr>
      <w:r w:rsidRPr="00D26B89">
        <w:rPr>
          <w:rFonts w:ascii="Arial" w:hAnsi="Arial" w:cs="Arial"/>
          <w:sz w:val="24"/>
          <w:szCs w:val="24"/>
          <w:rtl/>
        </w:rPr>
        <w:t>1.</w:t>
      </w:r>
      <w:r w:rsidRPr="00D26B89">
        <w:rPr>
          <w:rFonts w:ascii="Arial" w:hAnsi="Arial" w:cs="Arial"/>
          <w:sz w:val="24"/>
          <w:szCs w:val="24"/>
          <w:rtl/>
        </w:rPr>
        <w:tab/>
      </w:r>
      <w:r w:rsidRPr="00D26B89">
        <w:rPr>
          <w:rFonts w:ascii="Arial" w:hAnsi="Arial" w:cs="Arial"/>
          <w:sz w:val="24"/>
          <w:szCs w:val="24"/>
          <w:u w:val="single"/>
          <w:rtl/>
        </w:rPr>
        <w:t>תכליתו של הקוד האתי</w:t>
      </w:r>
    </w:p>
    <w:p w:rsidR="00EE26EC" w:rsidRPr="00D26B89" w:rsidRDefault="00EE26EC" w:rsidP="00EE26EC">
      <w:pPr>
        <w:pStyle w:val="a3"/>
        <w:spacing w:line="360" w:lineRule="auto"/>
        <w:jc w:val="both"/>
        <w:rPr>
          <w:rFonts w:ascii="Arial" w:hAnsi="Arial" w:cs="Arial"/>
          <w:sz w:val="24"/>
          <w:szCs w:val="24"/>
          <w:rtl/>
        </w:rPr>
      </w:pPr>
      <w:r w:rsidRPr="00D26B89">
        <w:rPr>
          <w:rFonts w:ascii="Arial" w:hAnsi="Arial" w:cs="Arial"/>
          <w:sz w:val="24"/>
          <w:szCs w:val="24"/>
          <w:rtl/>
        </w:rPr>
        <w:t>הקופה דוגלת בהתנהגות נאותה של עובדיה ומנהליה (כולל דירקטורים) במסגרת מילוי תפקידם בקופה. לפיכך, הוחלט על ידי דירקטוריון הקופה לנסח ולקבוע מערכת כללי התנהגות הנדרשים מנושאי המשרה בקופה ומעובדיה.</w:t>
      </w:r>
    </w:p>
    <w:p w:rsidR="00EE26EC" w:rsidRPr="00D26B89" w:rsidRDefault="00EE26EC" w:rsidP="00EE26EC">
      <w:pPr>
        <w:pStyle w:val="a3"/>
        <w:spacing w:line="360" w:lineRule="auto"/>
        <w:jc w:val="both"/>
        <w:rPr>
          <w:rFonts w:ascii="Arial" w:hAnsi="Arial" w:cs="Arial"/>
          <w:sz w:val="24"/>
          <w:szCs w:val="24"/>
          <w:rtl/>
        </w:rPr>
      </w:pPr>
      <w:r w:rsidRPr="00D26B89">
        <w:rPr>
          <w:rFonts w:ascii="Arial" w:hAnsi="Arial" w:cs="Arial"/>
          <w:sz w:val="24"/>
          <w:szCs w:val="24"/>
          <w:rtl/>
        </w:rPr>
        <w:t>מערכת כללים זו, המכונה "קוד אתי", מגבשת את הדרישות והכללים המיועדים להביא ליצירת וקיום תרבות ארגונית וערכית, אשר תחזק את הקשר בין עובדי הקופה לבין עצמם ותבסס יחסי אמון, אמינות ויושרה בין הקופה לבין עמיתיה וכל הבאים עמה במגע (לרבות ספקים ונותני שירותים).</w:t>
      </w:r>
    </w:p>
    <w:p w:rsidR="00EE26EC" w:rsidRPr="00D26B89" w:rsidRDefault="00EE26EC" w:rsidP="00EE26EC">
      <w:pPr>
        <w:spacing w:line="360" w:lineRule="auto"/>
        <w:ind w:left="567" w:hanging="567"/>
        <w:jc w:val="both"/>
        <w:rPr>
          <w:rFonts w:ascii="Arial" w:hAnsi="Arial" w:cs="Arial"/>
          <w:sz w:val="24"/>
          <w:szCs w:val="24"/>
          <w:rtl/>
        </w:rPr>
      </w:pPr>
      <w:r w:rsidRPr="00D26B89">
        <w:rPr>
          <w:rFonts w:ascii="Arial" w:hAnsi="Arial" w:cs="Arial"/>
          <w:sz w:val="24"/>
          <w:szCs w:val="24"/>
          <w:rtl/>
        </w:rPr>
        <w:t>2.</w:t>
      </w:r>
      <w:r w:rsidRPr="00D26B89">
        <w:rPr>
          <w:rFonts w:ascii="Arial" w:hAnsi="Arial" w:cs="Arial"/>
          <w:sz w:val="24"/>
          <w:szCs w:val="24"/>
          <w:rtl/>
        </w:rPr>
        <w:tab/>
      </w:r>
      <w:r w:rsidRPr="00D26B89">
        <w:rPr>
          <w:rFonts w:ascii="Arial" w:hAnsi="Arial" w:cs="Arial"/>
          <w:sz w:val="24"/>
          <w:szCs w:val="24"/>
          <w:u w:val="single"/>
          <w:rtl/>
        </w:rPr>
        <w:t>אין בקוד האתי משום גריעה מהוראות כל דין</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יודגש, כי אין בכללים אלה בכדי להחליף את חוקי המדינה או כל הוראות דין אחרות החלים על הקופה או על מי מעובדיה או נושאי המשרה שלה. אין בכללים אלה כדי לגרוע מהוראות כל חוק, ואף לא ליתן לו פרשנות מוסמכת. עם זאת, במערכת הפנימית של הקופה, כללים אלה מהווים חלק בלתי נפרד מכללי המשמעת בקופה, החלים על כל העובדים. על כן, עובד שיימצא מפר את הכללים ייחשב כמי שהפר את המשמעת והקופה תנקוט כנגדו באמצעים שתמצא לנכון בגין הפרה זו, בכפוף, כמובן, להוראות כל דין.</w:t>
      </w:r>
    </w:p>
    <w:p w:rsidR="00EE26EC" w:rsidRPr="00D26B89" w:rsidRDefault="00EE26EC" w:rsidP="00EE26EC">
      <w:pPr>
        <w:spacing w:line="360" w:lineRule="auto"/>
        <w:ind w:left="567" w:hanging="567"/>
        <w:jc w:val="both"/>
        <w:rPr>
          <w:rFonts w:ascii="Arial" w:hAnsi="Arial" w:cs="Arial"/>
          <w:sz w:val="24"/>
          <w:szCs w:val="24"/>
          <w:rtl/>
        </w:rPr>
      </w:pPr>
      <w:r w:rsidRPr="00D26B89">
        <w:rPr>
          <w:rFonts w:ascii="Arial" w:hAnsi="Arial" w:cs="Arial"/>
          <w:sz w:val="24"/>
          <w:szCs w:val="24"/>
          <w:rtl/>
        </w:rPr>
        <w:t>3.</w:t>
      </w:r>
      <w:r w:rsidRPr="00D26B89">
        <w:rPr>
          <w:rFonts w:ascii="Arial" w:hAnsi="Arial" w:cs="Arial"/>
          <w:sz w:val="24"/>
          <w:szCs w:val="24"/>
          <w:rtl/>
        </w:rPr>
        <w:tab/>
      </w:r>
      <w:r w:rsidRPr="00D26B89">
        <w:rPr>
          <w:rFonts w:ascii="Arial" w:hAnsi="Arial" w:cs="Arial"/>
          <w:sz w:val="24"/>
          <w:szCs w:val="24"/>
          <w:u w:val="single"/>
          <w:rtl/>
        </w:rPr>
        <w:t>הקפדה על קיום הוראות כל דין</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עובדי הקופה ומנהליה מחויבים לקיים את כל הדינים החלים עליהם ו/או על הקופה. על כל עובד ומנהל להכיר בכך שפעילות שלא על פי החוק שלו בקשר לקופה עלולה, לעיתים, להטיל אשמה גם על הקופה עצמה או על כל עובדים ונושאי משרה אחרים בה. חלה חובה של הימנעות מוחלטת מכל פעילות בלתי חוקית, קלה כחמורה.</w:t>
      </w:r>
    </w:p>
    <w:p w:rsidR="00EE26EC" w:rsidRPr="00D26B89" w:rsidRDefault="00EE26EC" w:rsidP="00EE26EC">
      <w:pPr>
        <w:spacing w:line="360" w:lineRule="auto"/>
        <w:ind w:left="567" w:hanging="567"/>
        <w:jc w:val="both"/>
        <w:rPr>
          <w:rFonts w:ascii="Arial" w:hAnsi="Arial" w:cs="Arial"/>
          <w:sz w:val="24"/>
          <w:szCs w:val="24"/>
          <w:rtl/>
        </w:rPr>
      </w:pPr>
      <w:r w:rsidRPr="00D26B89">
        <w:rPr>
          <w:rFonts w:ascii="Arial" w:hAnsi="Arial" w:cs="Arial"/>
          <w:sz w:val="24"/>
          <w:szCs w:val="24"/>
          <w:rtl/>
        </w:rPr>
        <w:t>4.</w:t>
      </w:r>
      <w:r w:rsidRPr="00D26B89">
        <w:rPr>
          <w:rFonts w:ascii="Arial" w:hAnsi="Arial" w:cs="Arial"/>
          <w:sz w:val="24"/>
          <w:szCs w:val="24"/>
          <w:rtl/>
        </w:rPr>
        <w:tab/>
      </w:r>
      <w:r w:rsidRPr="00D26B89">
        <w:rPr>
          <w:rFonts w:ascii="Arial" w:hAnsi="Arial" w:cs="Arial"/>
          <w:sz w:val="24"/>
          <w:szCs w:val="24"/>
          <w:u w:val="single"/>
          <w:rtl/>
        </w:rPr>
        <w:t>גילוי ניגוד עניינים והימנעות ממעורבות בנושאים בהם יש לעובד עניין אישי</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הוראות חוק החברות, תשנ"ט - 1999 (</w:t>
      </w:r>
      <w:r w:rsidRPr="00D26B89">
        <w:rPr>
          <w:rFonts w:ascii="Arial" w:hAnsi="Arial" w:cs="Arial"/>
          <w:b w:val="0"/>
          <w:bCs/>
          <w:sz w:val="24"/>
          <w:szCs w:val="24"/>
          <w:rtl/>
        </w:rPr>
        <w:t>"חוק החברות")</w:t>
      </w:r>
      <w:r w:rsidRPr="00D26B89">
        <w:rPr>
          <w:rFonts w:ascii="Arial" w:hAnsi="Arial" w:cs="Arial"/>
          <w:sz w:val="24"/>
          <w:szCs w:val="24"/>
          <w:rtl/>
        </w:rPr>
        <w:t xml:space="preserve"> קובעים את הכללים לגבי טיפול באירועים בהם יש ניגוד עניינים (או פוטנציאל לניגוד עניינים) בין נושא משרה בקופה (כהגדרתו בחוק החברות) לבין הקופה עצמה. על עובדים אשר אינם נופלים לגדרי המונח "נושא משרה" בחוק החברות יחול כלל דומה, כלומר: תחול חובת גילוי מיידי של כל עובד על כל עניין אישי שיש לו בעסק או פעולה של הקופה. על כל עובד כאמור שאינו "נושא משרה" (שאז חובת הדיווח היא לדירקטוריון), לגלות את העניין האישי שלו כאמור לממונה עליו בקופה.</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lastRenderedPageBreak/>
        <w:t>כמו כן, בנוסף לחובת הגילוי, כל אחד מעובדי הקופה, המוסמך להחליט בפעולה או עסקה של הקופה, שכתוצאה ממנה הוא או בני משפחתו או מקורבים אחרים שלו ייצאו או עשויים לצאת נשכרים במישרין או בעקיפין, יימנע מלקבל את ההחלטה בפעולה או בעסקה ויציג את הנושא להחלטת הממונה עליו תוך פירוט טובת ההנאה שהוא או בני משפחתו או מקורביו עשויים להפיק מכך.  פעולות שוטפות בתיק ההשקעות (למעט נדל"ן) לא יחשבו 'פעולה' או 'עסקה' לצורך סעיף זה.</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עובדי הקופה ונושאי המשרה בה יימנעו מקשרים מסחריים פרטיים, ולו לצורכי כלכלת הבית, עם גורמים עסקיים (למעט ספקי שירות ציבוריים) עימם הם קשורים במסגרת עבודתם.</w:t>
      </w:r>
    </w:p>
    <w:p w:rsidR="00EE26EC" w:rsidRPr="00D26B89" w:rsidRDefault="00EE26EC" w:rsidP="00EE26EC">
      <w:pPr>
        <w:spacing w:line="360" w:lineRule="auto"/>
        <w:ind w:left="567" w:hanging="567"/>
        <w:jc w:val="both"/>
        <w:rPr>
          <w:rFonts w:ascii="Arial" w:hAnsi="Arial" w:cs="Arial"/>
          <w:sz w:val="24"/>
          <w:szCs w:val="24"/>
          <w:rtl/>
        </w:rPr>
      </w:pPr>
      <w:r w:rsidRPr="00D26B89">
        <w:rPr>
          <w:rFonts w:ascii="Arial" w:hAnsi="Arial" w:cs="Arial"/>
          <w:sz w:val="24"/>
          <w:szCs w:val="24"/>
          <w:rtl/>
        </w:rPr>
        <w:t>5.</w:t>
      </w:r>
      <w:r w:rsidRPr="00D26B89">
        <w:rPr>
          <w:rFonts w:ascii="Arial" w:hAnsi="Arial" w:cs="Arial"/>
          <w:sz w:val="24"/>
          <w:szCs w:val="24"/>
          <w:rtl/>
        </w:rPr>
        <w:tab/>
      </w:r>
      <w:r w:rsidRPr="00D26B89">
        <w:rPr>
          <w:rFonts w:ascii="Arial" w:hAnsi="Arial" w:cs="Arial"/>
          <w:sz w:val="24"/>
          <w:szCs w:val="24"/>
          <w:u w:val="single"/>
          <w:rtl/>
        </w:rPr>
        <w:t>איסור לנצל הזדמנויות עסקיות של הקופה ואיסור תחרות</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עובדי הקופה יימנעו מכל פעולה שיש בה תחרות עם עסקי הקופה, ויימנעו מניצול הזדמנות עסקית של הקופה במטרה להשיג טובת הנאה לטובתם הם או לטובת אחר (לרבות קרובי העובד).. עובדים המקיימים קשרים עסקיים מטעם הקופה עם נותני שירותים שונים הקשורים לקופה, יפעלו במסגרת קשרים אלו ללא משוא פנים ותוך הקפדה על שמירת  טובת הקופה, תועלת הקופה והעדפתן במסגרת קשרים אלה, על פני שיקולים של תועלת אישית או שיקולים אחרים.</w:t>
      </w:r>
    </w:p>
    <w:p w:rsidR="00EE26EC" w:rsidRPr="00D26B89" w:rsidRDefault="00EE26EC" w:rsidP="00EE26EC">
      <w:pPr>
        <w:spacing w:line="360" w:lineRule="auto"/>
        <w:ind w:left="567" w:hanging="567"/>
        <w:jc w:val="both"/>
        <w:rPr>
          <w:rFonts w:ascii="Arial" w:hAnsi="Arial" w:cs="Arial"/>
          <w:sz w:val="24"/>
          <w:szCs w:val="24"/>
          <w:rtl/>
        </w:rPr>
      </w:pPr>
      <w:r w:rsidRPr="00D26B89">
        <w:rPr>
          <w:rFonts w:ascii="Arial" w:hAnsi="Arial" w:cs="Arial"/>
          <w:sz w:val="24"/>
          <w:szCs w:val="24"/>
          <w:rtl/>
        </w:rPr>
        <w:t>6.</w:t>
      </w:r>
      <w:r w:rsidRPr="00D26B89">
        <w:rPr>
          <w:rFonts w:ascii="Arial" w:hAnsi="Arial" w:cs="Arial"/>
          <w:sz w:val="24"/>
          <w:szCs w:val="24"/>
          <w:rtl/>
        </w:rPr>
        <w:tab/>
      </w:r>
      <w:r w:rsidRPr="00D26B89">
        <w:rPr>
          <w:rFonts w:ascii="Arial" w:hAnsi="Arial" w:cs="Arial"/>
          <w:sz w:val="24"/>
          <w:szCs w:val="24"/>
          <w:u w:val="single"/>
          <w:rtl/>
        </w:rPr>
        <w:t>איסור לקבל מתנות ואיסור לתת מתנות</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עובדי הקופה ונושאי המשרה בה לא יקבלו טובות הנאה מגורמים עסקיים עמם קשורה הקופה, למעט מתנות עסקיות סמליות מקובלות אשר בשל ערכן הכספי הנמוך ניתן לסווגם במסגרת יחסי ציבור של מעניק המתנה. חל איסור לקבל מתנה או טובת הנאה או גמול החורגים מעבר למתנות סמליות אלה, זאת כדי שלא תיווצר, אפילו בהיסח הדעת, מחויבות כלשהי של העובד כלפי נותן המתנה.</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מתנות מטעם הקופה לעמיתים או לגורמים אחרים, יינתנו רק על ידי עובדים המורשים לכך במפורש ואשר יקפידו על קיום נוהלי הקופה וההגבלות לגבי סוג ושווי המתנה.</w:t>
      </w:r>
    </w:p>
    <w:p w:rsidR="00EE26EC" w:rsidRPr="00D26B89" w:rsidRDefault="00EE26EC" w:rsidP="00EE26EC">
      <w:pPr>
        <w:spacing w:line="360" w:lineRule="auto"/>
        <w:ind w:left="567" w:hanging="567"/>
        <w:jc w:val="both"/>
        <w:rPr>
          <w:rFonts w:ascii="Arial" w:hAnsi="Arial" w:cs="Arial"/>
          <w:sz w:val="24"/>
          <w:szCs w:val="24"/>
          <w:rtl/>
        </w:rPr>
      </w:pPr>
      <w:r w:rsidRPr="00D26B89">
        <w:rPr>
          <w:rFonts w:ascii="Arial" w:hAnsi="Arial" w:cs="Arial"/>
          <w:sz w:val="24"/>
          <w:szCs w:val="24"/>
          <w:rtl/>
        </w:rPr>
        <w:t>7.</w:t>
      </w:r>
      <w:r w:rsidRPr="00D26B89">
        <w:rPr>
          <w:rFonts w:ascii="Arial" w:hAnsi="Arial" w:cs="Arial"/>
          <w:sz w:val="24"/>
          <w:szCs w:val="24"/>
          <w:rtl/>
        </w:rPr>
        <w:tab/>
      </w:r>
      <w:r w:rsidRPr="00D26B89">
        <w:rPr>
          <w:rFonts w:ascii="Arial" w:hAnsi="Arial" w:cs="Arial"/>
          <w:sz w:val="24"/>
          <w:szCs w:val="24"/>
          <w:u w:val="single"/>
          <w:rtl/>
        </w:rPr>
        <w:t>ניצול מעמד לרעה</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עובדי הקופה אשר הנם מנהלים או ממונים על עובדים אחרים, לא ינצלו לרעה את מעמדם  כלפי הכפופים להם בכל עניין אישי שאינו קשור לעבודה, ויימנעו מקבלת טובת הנאה כלשהי מהכפופים להם</w:t>
      </w:r>
      <w:r>
        <w:rPr>
          <w:rFonts w:ascii="Arial" w:hAnsi="Arial" w:cs="Arial" w:hint="cs"/>
          <w:sz w:val="24"/>
          <w:szCs w:val="24"/>
          <w:rtl/>
        </w:rPr>
        <w:t xml:space="preserve"> </w:t>
      </w:r>
      <w:r w:rsidRPr="00EE26EC">
        <w:rPr>
          <w:rFonts w:ascii="Arial" w:hAnsi="Arial" w:cs="Arial" w:hint="cs"/>
          <w:sz w:val="24"/>
          <w:szCs w:val="24"/>
          <w:rtl/>
        </w:rPr>
        <w:t>או מגורמים אחרים הקשורים לקופה</w:t>
      </w:r>
      <w:r w:rsidRPr="00D26B89">
        <w:rPr>
          <w:rFonts w:ascii="Arial" w:hAnsi="Arial" w:cs="Arial"/>
          <w:sz w:val="24"/>
          <w:szCs w:val="24"/>
          <w:rtl/>
        </w:rPr>
        <w:t xml:space="preserve"> (כגון: ערבות כספית, הלוואה וכד'). עובדי הקופה גם לא ינצלו את מעמדם בקופה לקידום עניינים אישיים כלשהם שלהם או של מי מטעמם בקופה או מחוצה לה. </w:t>
      </w:r>
    </w:p>
    <w:p w:rsidR="00EE26EC" w:rsidRPr="00D26B89" w:rsidRDefault="00EE26EC" w:rsidP="00EE26EC">
      <w:pPr>
        <w:spacing w:line="360" w:lineRule="auto"/>
        <w:ind w:left="567"/>
        <w:jc w:val="both"/>
        <w:rPr>
          <w:rFonts w:ascii="Arial" w:hAnsi="Arial" w:cs="Arial"/>
          <w:sz w:val="24"/>
          <w:szCs w:val="24"/>
          <w:rtl/>
        </w:rPr>
      </w:pPr>
    </w:p>
    <w:p w:rsidR="00EE26EC" w:rsidRPr="00D26B89" w:rsidRDefault="00EE26EC" w:rsidP="00EE26EC">
      <w:pPr>
        <w:spacing w:line="360" w:lineRule="auto"/>
        <w:ind w:left="567" w:hanging="567"/>
        <w:jc w:val="both"/>
        <w:rPr>
          <w:rFonts w:ascii="Arial" w:hAnsi="Arial" w:cs="Arial"/>
          <w:sz w:val="24"/>
          <w:szCs w:val="24"/>
          <w:rtl/>
        </w:rPr>
      </w:pPr>
      <w:r w:rsidRPr="00D26B89">
        <w:rPr>
          <w:rFonts w:ascii="Arial" w:hAnsi="Arial" w:cs="Arial"/>
          <w:sz w:val="24"/>
          <w:szCs w:val="24"/>
          <w:rtl/>
        </w:rPr>
        <w:t>8.</w:t>
      </w:r>
      <w:r w:rsidRPr="00D26B89">
        <w:rPr>
          <w:rFonts w:ascii="Arial" w:hAnsi="Arial" w:cs="Arial"/>
          <w:sz w:val="24"/>
          <w:szCs w:val="24"/>
          <w:rtl/>
        </w:rPr>
        <w:tab/>
      </w:r>
      <w:r w:rsidRPr="00D26B89">
        <w:rPr>
          <w:rFonts w:ascii="Arial" w:hAnsi="Arial" w:cs="Arial"/>
          <w:sz w:val="24"/>
          <w:szCs w:val="24"/>
          <w:u w:val="single"/>
          <w:rtl/>
        </w:rPr>
        <w:t>סודיות</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 xml:space="preserve">עובדי הקופה ונושאי המשרה בה מחויבים בשמירת סודותיה העסקיים והמסחריים של הקופה. עובדי הקופה נדרשים להקפיד על שימוש זהיר ונאות בסוגי המידע השונים </w:t>
      </w:r>
      <w:r w:rsidRPr="00D26B89">
        <w:rPr>
          <w:rFonts w:ascii="Arial" w:hAnsi="Arial" w:cs="Arial"/>
          <w:sz w:val="24"/>
          <w:szCs w:val="24"/>
          <w:rtl/>
        </w:rPr>
        <w:lastRenderedPageBreak/>
        <w:t>שברשותם ולשמור על סודיות המידע של הקופה. על העובדים לנקוט בכל אמצעי הזהירות המתחייבים והנדרשים כדי להבטיח שסודות הקופה, לרבות המידע שהופקד בידיהם, לא ייחשפו לאחרים, בין בקופה ובין מחוצה לה, אלא כנדרש על ידי הקופה עצמה לצורך ביצוע עסקיה וקבלת החלטותיה השונות. הסודות העסקיים המסחריים כוללים בין השאר את כל מסמכי הקופה, מידע על לקוחות וגורמים שונים עמם הקופה בקשרים, תוכניות עסקיות ותוכניות אסטרטגיות. עובדי הקופה יהיו מנועים מלפרסם או לתת מידע כלשהו אודות הקופה לגורמי חוץ כלשהם, אלא על פי אישור הגורם המוסמך לאשר זאת.</w:t>
      </w:r>
    </w:p>
    <w:p w:rsidR="00EE26EC" w:rsidRPr="00D26B89" w:rsidRDefault="00EE26EC" w:rsidP="00EE26EC">
      <w:pPr>
        <w:spacing w:line="360" w:lineRule="auto"/>
        <w:ind w:left="567" w:hanging="567"/>
        <w:jc w:val="both"/>
        <w:rPr>
          <w:rFonts w:ascii="Arial" w:hAnsi="Arial" w:cs="Arial"/>
          <w:sz w:val="24"/>
          <w:szCs w:val="24"/>
          <w:rtl/>
        </w:rPr>
      </w:pPr>
      <w:r w:rsidRPr="00D26B89">
        <w:rPr>
          <w:rFonts w:ascii="Arial" w:hAnsi="Arial" w:cs="Arial"/>
          <w:sz w:val="24"/>
          <w:szCs w:val="24"/>
          <w:rtl/>
        </w:rPr>
        <w:t>9.</w:t>
      </w:r>
      <w:r w:rsidRPr="00D26B89">
        <w:rPr>
          <w:rFonts w:ascii="Arial" w:hAnsi="Arial" w:cs="Arial"/>
          <w:sz w:val="24"/>
          <w:szCs w:val="24"/>
          <w:rtl/>
        </w:rPr>
        <w:tab/>
      </w:r>
      <w:r w:rsidRPr="00D26B89">
        <w:rPr>
          <w:rFonts w:ascii="Arial" w:hAnsi="Arial" w:cs="Arial"/>
          <w:sz w:val="24"/>
          <w:szCs w:val="24"/>
          <w:u w:val="single"/>
          <w:rtl/>
        </w:rPr>
        <w:t>הגנה על נכסי החברה</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עובדי הקופה ונושאי המשרה בה מצווים לשמור על נכסי הקופה ולהבטיח את השימוש הנאות בהם לצורך פעילותה העסקית של הקופה בלבד. על עובדי הקופה להשתמש בנכסי הקופה לצורכי הקופה ולמטרותיה בלבד וחל איסור לעשות בהם שימוש לצרכים פרטיים, למעט אם הדבר הותר במפורש בהסכם העסקה של העובד (למשל בקשר לשימוש בכלי רכב או בטלפון נייד גם למטרות פרטיות, ככל ששימוש פרטי שכזה הותר בהסכם העסקה). עובדי הקופה ונושאי המשרה בה ישמרו על הרכוש שבאחריותם בתנאים הולמים, וינהגו בו בזהירות המתאימה, בחסכנות וביעילות.</w:t>
      </w:r>
    </w:p>
    <w:p w:rsidR="00EE26EC" w:rsidRPr="00D26B89" w:rsidRDefault="00EE26EC" w:rsidP="00EE26EC">
      <w:pPr>
        <w:spacing w:line="360" w:lineRule="auto"/>
        <w:ind w:left="567" w:hanging="567"/>
        <w:jc w:val="both"/>
        <w:rPr>
          <w:rFonts w:ascii="Arial" w:hAnsi="Arial" w:cs="Arial"/>
          <w:sz w:val="24"/>
          <w:szCs w:val="24"/>
          <w:rtl/>
        </w:rPr>
      </w:pPr>
      <w:r w:rsidRPr="00D26B89">
        <w:rPr>
          <w:rFonts w:ascii="Arial" w:hAnsi="Arial" w:cs="Arial"/>
          <w:sz w:val="24"/>
          <w:szCs w:val="24"/>
          <w:rtl/>
        </w:rPr>
        <w:t>11.</w:t>
      </w:r>
      <w:r w:rsidRPr="00D26B89">
        <w:rPr>
          <w:rFonts w:ascii="Arial" w:hAnsi="Arial" w:cs="Arial"/>
          <w:sz w:val="24"/>
          <w:szCs w:val="24"/>
          <w:rtl/>
        </w:rPr>
        <w:tab/>
      </w:r>
      <w:r w:rsidRPr="00D26B89">
        <w:rPr>
          <w:rFonts w:ascii="Arial" w:hAnsi="Arial" w:cs="Arial"/>
          <w:sz w:val="24"/>
          <w:szCs w:val="24"/>
          <w:u w:val="single"/>
          <w:rtl/>
        </w:rPr>
        <w:t>כללי התנהגות בעת ביצוע העבודה</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עובדי הקופה ונושאי המשרה בה ישמרו על כללי הבטיחות בעבודה, יבצעו את חובותיהם בהתאם לשיקול דעתם המקצועי בלבד, ישמרו על הופעה ייצוגית ההולמת את מעמדם ותפקידם ויתייחסו בכבוד לעמיתיהם תוך שיתוף פעולה עמם.</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t>בזמן העבודה עובדי הקופה ונושאי המשרה בה ינהגו בכבוד, בנאמנות וביושר כלפי הזולת, ויימנעו מפעולות או הצהרות פוגעניות בדת, בקהילה, בגזע, במין או בקבוצת אתנית. עובדים הנושאים ונותנים ישירות עם העמיתים, יפעלו בנימוס ובכבוד, ללא משוא פנים, תוך שאיפה לשרת את העמית הרלוונטי בצורה הנעימה והטובה ביותר.</w:t>
      </w:r>
    </w:p>
    <w:p w:rsidR="00EE26EC" w:rsidRPr="00D26B89" w:rsidRDefault="00EE26EC" w:rsidP="00EE26EC">
      <w:pPr>
        <w:spacing w:line="360" w:lineRule="auto"/>
        <w:ind w:left="567" w:hanging="567"/>
        <w:jc w:val="both"/>
        <w:rPr>
          <w:rFonts w:ascii="Arial" w:hAnsi="Arial" w:cs="Arial"/>
          <w:sz w:val="24"/>
          <w:szCs w:val="24"/>
          <w:rtl/>
        </w:rPr>
      </w:pPr>
      <w:r w:rsidRPr="00D26B89">
        <w:rPr>
          <w:rFonts w:ascii="Arial" w:hAnsi="Arial" w:cs="Arial"/>
          <w:sz w:val="24"/>
          <w:szCs w:val="24"/>
          <w:rtl/>
        </w:rPr>
        <w:t>12.</w:t>
      </w:r>
      <w:r w:rsidRPr="00D26B89">
        <w:rPr>
          <w:rFonts w:ascii="Arial" w:hAnsi="Arial" w:cs="Arial"/>
          <w:sz w:val="24"/>
          <w:szCs w:val="24"/>
          <w:rtl/>
        </w:rPr>
        <w:tab/>
      </w:r>
      <w:r w:rsidRPr="00D26B89">
        <w:rPr>
          <w:rFonts w:ascii="Arial" w:hAnsi="Arial" w:cs="Arial"/>
          <w:sz w:val="24"/>
          <w:szCs w:val="24"/>
          <w:u w:val="single"/>
          <w:rtl/>
        </w:rPr>
        <w:t>יחסים הירארכיים</w:t>
      </w:r>
    </w:p>
    <w:p w:rsidR="00EE26EC" w:rsidRDefault="00EE26EC" w:rsidP="00EE26EC">
      <w:pPr>
        <w:spacing w:line="360" w:lineRule="auto"/>
        <w:ind w:left="567"/>
        <w:jc w:val="both"/>
        <w:rPr>
          <w:rFonts w:ascii="Arial" w:hAnsi="Arial" w:cs="Arial" w:hint="cs"/>
          <w:sz w:val="24"/>
          <w:szCs w:val="24"/>
          <w:rtl/>
        </w:rPr>
      </w:pPr>
      <w:r w:rsidRPr="00D26B89">
        <w:rPr>
          <w:rFonts w:ascii="Arial" w:hAnsi="Arial" w:cs="Arial"/>
          <w:sz w:val="24"/>
          <w:szCs w:val="24"/>
          <w:rtl/>
        </w:rPr>
        <w:t>על העובדים למלא אחר הוראות העבודה של הממונים עליהם (בכפוף להוראות כל דין ולהוראות קוד זה), הן בהקשר של התנהגות, הן בהקשר של שיטות עבודה והן בהקשר של סדרי עדיפויות בעבודה. עובדים ומנהלים לא ייקחו או יקבלו בשם הקופה כל התחייבות או מצג כלפי גורם חיצוני, אלא בהתאם להרשאות וזכויות החתימה בקופה, כפי שיקבעו על ידי הדירקטוריון מעת לעת.</w:t>
      </w:r>
    </w:p>
    <w:p w:rsidR="00EE26EC" w:rsidRPr="00D26B89" w:rsidRDefault="00EE26EC" w:rsidP="00EE26EC">
      <w:pPr>
        <w:spacing w:line="360" w:lineRule="auto"/>
        <w:ind w:left="567"/>
        <w:jc w:val="both"/>
        <w:rPr>
          <w:rFonts w:ascii="Arial" w:hAnsi="Arial" w:cs="Arial"/>
          <w:sz w:val="24"/>
          <w:szCs w:val="24"/>
          <w:rtl/>
        </w:rPr>
      </w:pPr>
    </w:p>
    <w:p w:rsidR="00EE26EC" w:rsidRPr="00D26B89" w:rsidRDefault="00EE26EC" w:rsidP="00EE26EC">
      <w:pPr>
        <w:spacing w:line="360" w:lineRule="auto"/>
        <w:ind w:left="567" w:hanging="567"/>
        <w:jc w:val="both"/>
        <w:rPr>
          <w:rFonts w:ascii="Arial" w:hAnsi="Arial" w:cs="Arial"/>
          <w:sz w:val="24"/>
          <w:szCs w:val="24"/>
          <w:u w:val="single"/>
          <w:rtl/>
        </w:rPr>
      </w:pPr>
      <w:r w:rsidRPr="00D26B89">
        <w:rPr>
          <w:rFonts w:ascii="Arial" w:hAnsi="Arial" w:cs="Arial"/>
          <w:sz w:val="24"/>
          <w:szCs w:val="24"/>
          <w:rtl/>
        </w:rPr>
        <w:t>13.</w:t>
      </w:r>
      <w:r w:rsidRPr="00D26B89">
        <w:rPr>
          <w:rFonts w:ascii="Arial" w:hAnsi="Arial" w:cs="Arial"/>
          <w:sz w:val="24"/>
          <w:szCs w:val="24"/>
          <w:rtl/>
        </w:rPr>
        <w:tab/>
      </w:r>
      <w:r w:rsidRPr="00D26B89">
        <w:rPr>
          <w:rFonts w:ascii="Arial" w:hAnsi="Arial" w:cs="Arial"/>
          <w:sz w:val="24"/>
          <w:szCs w:val="24"/>
          <w:u w:val="single"/>
          <w:rtl/>
        </w:rPr>
        <w:t>היוועצות</w:t>
      </w:r>
    </w:p>
    <w:p w:rsidR="00EE26EC" w:rsidRPr="00D26B89" w:rsidRDefault="00EE26EC" w:rsidP="00EE26EC">
      <w:pPr>
        <w:spacing w:line="360" w:lineRule="auto"/>
        <w:ind w:left="567"/>
        <w:jc w:val="both"/>
        <w:rPr>
          <w:rFonts w:ascii="Arial" w:hAnsi="Arial" w:cs="Arial"/>
          <w:sz w:val="24"/>
          <w:szCs w:val="24"/>
          <w:rtl/>
        </w:rPr>
      </w:pPr>
      <w:r w:rsidRPr="00D26B89">
        <w:rPr>
          <w:rFonts w:ascii="Arial" w:hAnsi="Arial" w:cs="Arial"/>
          <w:sz w:val="24"/>
          <w:szCs w:val="24"/>
          <w:rtl/>
        </w:rPr>
        <w:lastRenderedPageBreak/>
        <w:t xml:space="preserve">כל עובד או נושא משרה בקופה אשר יש לו ספק באשר לדרך הפעולה הראויה שעליו ללכת ולנקוט ב במסגרת ולצורך מילוי תפקידו בקופה, חייב לדווח על כך לממונים עליו ולהיוועץ בהם או עם גורם מקצועי אחר בקופה בנושא זה. </w:t>
      </w:r>
    </w:p>
    <w:p w:rsidR="005A4AC5" w:rsidRDefault="00DA5740"/>
    <w:sectPr w:rsidR="005A4AC5" w:rsidSect="00C94E0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20"/>
  <w:characterSpacingControl w:val="doNotCompress"/>
  <w:compat/>
  <w:rsids>
    <w:rsidRoot w:val="00EE26EC"/>
    <w:rsid w:val="004541FD"/>
    <w:rsid w:val="006377CF"/>
    <w:rsid w:val="009914D3"/>
    <w:rsid w:val="00C94E0A"/>
    <w:rsid w:val="00EE26E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C"/>
    <w:pPr>
      <w:bidi/>
      <w:spacing w:after="0" w:line="240" w:lineRule="auto"/>
    </w:pPr>
    <w:rPr>
      <w:rFonts w:ascii="Times New Roman" w:eastAsia="Times New Roman" w:hAnsi="Times New Roman" w:cs="Narkisim"/>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26EC"/>
    <w:pPr>
      <w:spacing w:after="120"/>
      <w:ind w:left="283"/>
    </w:pPr>
  </w:style>
  <w:style w:type="character" w:customStyle="1" w:styleId="a4">
    <w:name w:val="כניסה בגוף טקסט תו"/>
    <w:basedOn w:val="a0"/>
    <w:link w:val="a3"/>
    <w:rsid w:val="00EE26EC"/>
    <w:rPr>
      <w:rFonts w:ascii="Times New Roman" w:eastAsia="Times New Roman" w:hAnsi="Times New Roman" w:cs="Narkisim"/>
      <w:b/>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1015</Words>
  <Characters>5078</Characters>
  <Application>Microsoft Office Word</Application>
  <DocSecurity>0</DocSecurity>
  <Lines>42</Lines>
  <Paragraphs>12</Paragraphs>
  <ScaleCrop>false</ScaleCrop>
  <Company>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hanoch</dc:creator>
  <cp:keywords/>
  <dc:description/>
  <cp:lastModifiedBy>hanoch</cp:lastModifiedBy>
  <cp:revision>2</cp:revision>
  <dcterms:created xsi:type="dcterms:W3CDTF">2012-08-22T12:34:00Z</dcterms:created>
  <dcterms:modified xsi:type="dcterms:W3CDTF">2012-08-22T12:34:00Z</dcterms:modified>
</cp:coreProperties>
</file>